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3"/>
        <w:tblW w:w="10814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98"/>
        <w:gridCol w:w="5400"/>
        <w:gridCol w:w="432"/>
        <w:gridCol w:w="432"/>
        <w:gridCol w:w="432"/>
        <w:gridCol w:w="432"/>
        <w:gridCol w:w="252"/>
        <w:gridCol w:w="180"/>
        <w:gridCol w:w="180"/>
        <w:gridCol w:w="810"/>
        <w:gridCol w:w="1481"/>
        <w:gridCol w:w="49"/>
        <w:gridCol w:w="136"/>
      </w:tblGrid>
      <w:tr w:rsidR="002224BB" w:rsidTr="002224BB">
        <w:tc>
          <w:tcPr>
            <w:tcW w:w="5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224BB" w:rsidRPr="006A2B73" w:rsidRDefault="002224BB" w:rsidP="0022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224BB" w:rsidRPr="006A2B73" w:rsidRDefault="002224BB" w:rsidP="0022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right"/>
              <w:rPr>
                <w:rFonts w:ascii="Arial" w:hAnsi="Arial" w:cs="Arial"/>
                <w:b/>
              </w:rPr>
            </w:pPr>
            <w:r w:rsidRPr="006A2B73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</w:tr>
      <w:tr w:rsidR="002224BB" w:rsidTr="002224BB">
        <w:trPr>
          <w:trHeight w:hRule="exact" w:val="144"/>
        </w:trPr>
        <w:tc>
          <w:tcPr>
            <w:tcW w:w="5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70"/>
        </w:trPr>
        <w:tc>
          <w:tcPr>
            <w:tcW w:w="59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2224BB" w:rsidRPr="006A2B73" w:rsidRDefault="002224BB" w:rsidP="002224BB">
            <w:pPr>
              <w:rPr>
                <w:rFonts w:ascii="Arial" w:hAnsi="Arial" w:cs="Arial"/>
                <w:b/>
              </w:rPr>
            </w:pPr>
            <w:r w:rsidRPr="006A2B73">
              <w:rPr>
                <w:rFonts w:ascii="Arial" w:hAnsi="Arial" w:cs="Arial"/>
              </w:rPr>
              <w:object w:dxaOrig="744" w:dyaOrig="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7pt;height:23.4pt" o:ole="">
                  <v:imagedata r:id="rId7" o:title=""/>
                </v:shape>
                <o:OLEObject Type="Embed" ProgID="Visio.Drawing.11" ShapeID="_x0000_i1042" DrawAspect="Content" ObjectID="_1615803938" r:id="rId8"/>
              </w:object>
            </w:r>
          </w:p>
        </w:tc>
        <w:tc>
          <w:tcPr>
            <w:tcW w:w="5400" w:type="dxa"/>
            <w:vMerge w:val="restart"/>
            <w:shd w:val="clear" w:color="auto" w:fill="C6D9F1" w:themeFill="text2" w:themeFillTint="33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Elements</w:t>
            </w:r>
          </w:p>
        </w:tc>
        <w:tc>
          <w:tcPr>
            <w:tcW w:w="2160" w:type="dxa"/>
            <w:gridSpan w:val="6"/>
            <w:shd w:val="clear" w:color="auto" w:fill="C6D9F1" w:themeFill="text2" w:themeFillTint="33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Rating</w:t>
            </w:r>
          </w:p>
        </w:tc>
        <w:tc>
          <w:tcPr>
            <w:tcW w:w="2471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Comment</w:t>
            </w:r>
          </w:p>
        </w:tc>
      </w:tr>
      <w:tr w:rsidR="002224BB" w:rsidTr="002224BB">
        <w:trPr>
          <w:gridAfter w:val="2"/>
          <w:wAfter w:w="185" w:type="dxa"/>
          <w:cantSplit/>
          <w:trHeight w:val="215"/>
        </w:trPr>
        <w:tc>
          <w:tcPr>
            <w:tcW w:w="598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:rsidR="002224BB" w:rsidRPr="006A2B73" w:rsidRDefault="002224BB" w:rsidP="0022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vMerge/>
            <w:shd w:val="clear" w:color="auto" w:fill="99CCFF"/>
            <w:vAlign w:val="bottom"/>
          </w:tcPr>
          <w:p w:rsidR="002224BB" w:rsidRPr="006A2B73" w:rsidRDefault="002224BB" w:rsidP="0022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vAlign w:val="bottom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C6D9F1" w:themeFill="text2" w:themeFillTint="33"/>
            <w:vAlign w:val="bottom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C6D9F1" w:themeFill="text2" w:themeFillTint="33"/>
            <w:vAlign w:val="bottom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C6D9F1" w:themeFill="text2" w:themeFillTint="33"/>
            <w:vAlign w:val="bottom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shd w:val="clear" w:color="auto" w:fill="C6D9F1" w:themeFill="text2" w:themeFillTint="33"/>
            <w:vAlign w:val="bottom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1" w:type="dxa"/>
            <w:gridSpan w:val="3"/>
            <w:vMerge/>
            <w:shd w:val="clear" w:color="auto" w:fill="99CCFF"/>
            <w:vAlign w:val="bottom"/>
          </w:tcPr>
          <w:p w:rsidR="002224BB" w:rsidRPr="003A48A4" w:rsidRDefault="002224BB" w:rsidP="002224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 w:val="restart"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btLr"/>
            <w:vAlign w:val="center"/>
          </w:tcPr>
          <w:p w:rsidR="002224BB" w:rsidRPr="00401EFE" w:rsidRDefault="002224BB" w:rsidP="002224BB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</w:t>
            </w: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SWOT process is inclusive and includes all key stakeholders.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SWOT process considers potential key challenges and opportunities.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SWOT process considers operating performance.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Issues and opportunities are evaluated in the context of the mission and vision to determine direction.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goals address the challenges and support the direction and focus.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Priority objectives are selected to support the goals and are based on gap analysis.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Priority objectives are measured with short and longer-term targets to close the performance gaps.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Objectives are balanced and address customers, workforce, and financials as a minimum.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tbRl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Accountability is assigned for all objectives and gaps.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 w:val="restart"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btLr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Deploy</w:t>
            </w: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Deployment is based on facts and shows clear alignment throughout the organization.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</w:tcPr>
          <w:p w:rsidR="002224BB" w:rsidRPr="00401EFE" w:rsidRDefault="002224BB" w:rsidP="002224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A process is in place to communicate the plan and engage all employees.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btLr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Action plans are in place for key projects.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</w:tcPr>
          <w:p w:rsidR="002224BB" w:rsidRPr="00401EFE" w:rsidRDefault="002224BB" w:rsidP="002224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It is clear how the gaps will be closed and where the contributions will come from.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 w:val="restart"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btLr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Implement</w:t>
            </w: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Project Action plans are on schedule for each objective.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</w:tcPr>
          <w:p w:rsidR="002224BB" w:rsidRPr="00401EFE" w:rsidRDefault="002224BB" w:rsidP="002224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Gaps are closing as planned.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432"/>
        </w:trPr>
        <w:tc>
          <w:tcPr>
            <w:tcW w:w="598" w:type="dxa"/>
            <w:vMerge/>
            <w:shd w:val="clear" w:color="auto" w:fill="C6D9F1" w:themeFill="text2" w:themeFillTint="33"/>
            <w:tcMar>
              <w:left w:w="43" w:type="dxa"/>
              <w:right w:w="43" w:type="dxa"/>
            </w:tcMar>
          </w:tcPr>
          <w:p w:rsidR="002224BB" w:rsidRPr="00401EFE" w:rsidRDefault="002224BB" w:rsidP="002224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Reasons for slippage are known and addressed.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trHeight w:val="432"/>
        </w:trPr>
        <w:tc>
          <w:tcPr>
            <w:tcW w:w="598" w:type="dxa"/>
            <w:vMerge w:val="restart"/>
            <w:shd w:val="clear" w:color="auto" w:fill="C6D9F1" w:themeFill="text2" w:themeFillTint="33"/>
            <w:tcMar>
              <w:left w:w="43" w:type="dxa"/>
              <w:right w:w="43" w:type="dxa"/>
            </w:tcMar>
            <w:textDirection w:val="btLr"/>
            <w:vAlign w:val="center"/>
          </w:tcPr>
          <w:p w:rsidR="002224BB" w:rsidRPr="00401EFE" w:rsidRDefault="002224BB" w:rsidP="00222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Review </w:t>
            </w:r>
            <w:proofErr w:type="gramStart"/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gramEnd"/>
            <w:r w:rsidRPr="00401E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Evaluate</w:t>
            </w: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There is a systematic approach in place to review the status of the plan’s execution at all levels.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432"/>
        </w:trPr>
        <w:tc>
          <w:tcPr>
            <w:tcW w:w="598" w:type="dxa"/>
            <w:vMerge/>
            <w:shd w:val="clear" w:color="auto" w:fill="C6D9F1" w:themeFill="text2" w:themeFillTint="33"/>
          </w:tcPr>
          <w:p w:rsidR="002224BB" w:rsidRDefault="002224BB" w:rsidP="002224BB">
            <w:pPr>
              <w:spacing w:before="40"/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strategic plan and budget are integrated.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432"/>
        </w:trPr>
        <w:tc>
          <w:tcPr>
            <w:tcW w:w="598" w:type="dxa"/>
            <w:vMerge/>
            <w:shd w:val="clear" w:color="auto" w:fill="C6D9F1" w:themeFill="text2" w:themeFillTint="33"/>
          </w:tcPr>
          <w:p w:rsidR="002224BB" w:rsidRDefault="002224BB" w:rsidP="002224BB">
            <w:pPr>
              <w:spacing w:before="40"/>
            </w:pPr>
          </w:p>
        </w:tc>
        <w:tc>
          <w:tcPr>
            <w:tcW w:w="5400" w:type="dxa"/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The planning process key milestones were completed per schedule.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  <w:cantSplit/>
          <w:trHeight w:val="432"/>
        </w:trPr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24BB" w:rsidRDefault="002224BB" w:rsidP="002224BB">
            <w:pPr>
              <w:spacing w:before="40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224BB" w:rsidRPr="002224BB" w:rsidRDefault="002224BB" w:rsidP="002224BB">
            <w:pPr>
              <w:numPr>
                <w:ilvl w:val="0"/>
                <w:numId w:val="50"/>
              </w:num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2224BB">
              <w:rPr>
                <w:rFonts w:ascii="Arial" w:hAnsi="Arial" w:cs="Arial"/>
                <w:sz w:val="20"/>
                <w:szCs w:val="22"/>
              </w:rPr>
              <w:t>Lessons learned from the planning and implementation processes have been documented and incorporated into the next planning process cycle.</w:t>
            </w: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24BB" w:rsidRPr="006E6955" w:rsidRDefault="002224BB" w:rsidP="002224B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:rsidR="002224BB" w:rsidRPr="00A92D1E" w:rsidRDefault="002224BB" w:rsidP="002224BB">
            <w:pPr>
              <w:spacing w:before="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2224BB" w:rsidTr="002224BB">
        <w:trPr>
          <w:gridAfter w:val="2"/>
          <w:wAfter w:w="185" w:type="dxa"/>
        </w:trPr>
        <w:tc>
          <w:tcPr>
            <w:tcW w:w="5998" w:type="dxa"/>
            <w:gridSpan w:val="2"/>
            <w:tcBorders>
              <w:left w:val="nil"/>
              <w:bottom w:val="nil"/>
            </w:tcBorders>
          </w:tcPr>
          <w:p w:rsidR="002224BB" w:rsidRPr="00F20196" w:rsidRDefault="002224BB" w:rsidP="002224BB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F20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2224BB" w:rsidRPr="00F20196" w:rsidRDefault="002224BB" w:rsidP="002224BB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2224BB" w:rsidRPr="00543C59" w:rsidRDefault="002224BB" w:rsidP="002224BB">
            <w:pPr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543C59">
              <w:rPr>
                <w:rFonts w:ascii="Arial" w:hAnsi="Arial" w:cs="Arial"/>
                <w:sz w:val="18"/>
                <w:szCs w:val="16"/>
              </w:rPr>
              <w:t>Average = Total Points Scored ÷ # of Elements (20)</w:t>
            </w:r>
          </w:p>
          <w:p w:rsidR="002224BB" w:rsidRPr="00543C59" w:rsidRDefault="002224BB" w:rsidP="002224BB">
            <w:pPr>
              <w:outlineLvl w:val="0"/>
              <w:rPr>
                <w:rFonts w:ascii="Arial" w:hAnsi="Arial" w:cs="Arial"/>
                <w:b/>
                <w:sz w:val="18"/>
              </w:rPr>
            </w:pPr>
            <w:r w:rsidRPr="00543C59">
              <w:rPr>
                <w:rFonts w:ascii="Arial" w:hAnsi="Arial" w:cs="Arial"/>
                <w:sz w:val="18"/>
                <w:szCs w:val="16"/>
              </w:rPr>
              <w:t>% = 100 x (Total Points Scored – Total Possible Points)</w:t>
            </w:r>
          </w:p>
        </w:tc>
      </w:tr>
      <w:tr w:rsidR="002224BB" w:rsidTr="002224BB">
        <w:trPr>
          <w:gridAfter w:val="2"/>
          <w:wAfter w:w="185" w:type="dxa"/>
        </w:trPr>
        <w:tc>
          <w:tcPr>
            <w:tcW w:w="5998" w:type="dxa"/>
            <w:gridSpan w:val="2"/>
            <w:tcBorders>
              <w:top w:val="nil"/>
              <w:left w:val="nil"/>
              <w:bottom w:val="nil"/>
            </w:tcBorders>
          </w:tcPr>
          <w:p w:rsidR="002224BB" w:rsidRPr="00F20196" w:rsidRDefault="002224BB" w:rsidP="002224BB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Average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2224BB" w:rsidRDefault="002224BB" w:rsidP="002224BB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/>
            <w:tcBorders>
              <w:right w:val="nil"/>
            </w:tcBorders>
            <w:shd w:val="clear" w:color="auto" w:fill="auto"/>
          </w:tcPr>
          <w:p w:rsidR="002224BB" w:rsidRPr="001F1EF7" w:rsidRDefault="002224BB" w:rsidP="002224BB">
            <w:pPr>
              <w:spacing w:before="40"/>
              <w:jc w:val="center"/>
              <w:rPr>
                <w:b/>
              </w:rPr>
            </w:pPr>
          </w:p>
        </w:tc>
      </w:tr>
      <w:tr w:rsidR="002224BB" w:rsidTr="002224BB">
        <w:trPr>
          <w:gridAfter w:val="2"/>
          <w:wAfter w:w="185" w:type="dxa"/>
        </w:trPr>
        <w:tc>
          <w:tcPr>
            <w:tcW w:w="5998" w:type="dxa"/>
            <w:gridSpan w:val="2"/>
            <w:tcBorders>
              <w:top w:val="nil"/>
              <w:left w:val="nil"/>
              <w:bottom w:val="nil"/>
            </w:tcBorders>
          </w:tcPr>
          <w:p w:rsidR="002224BB" w:rsidRDefault="002224BB" w:rsidP="002224BB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%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2224BB" w:rsidRDefault="002224BB" w:rsidP="002224BB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2224BB" w:rsidRPr="001F1EF7" w:rsidRDefault="002224BB" w:rsidP="002224BB">
            <w:pPr>
              <w:spacing w:before="40"/>
              <w:jc w:val="center"/>
              <w:rPr>
                <w:b/>
              </w:rPr>
            </w:pPr>
          </w:p>
        </w:tc>
      </w:tr>
    </w:tbl>
    <w:p w:rsidR="00A01708" w:rsidRDefault="00A01708" w:rsidP="002224BB"/>
    <w:p w:rsidR="002224BB" w:rsidRPr="002224BB" w:rsidRDefault="002224BB" w:rsidP="002224BB">
      <w:pPr>
        <w:jc w:val="center"/>
        <w:rPr>
          <w:rFonts w:ascii="Arial" w:hAnsi="Arial" w:cs="Arial"/>
          <w:i/>
          <w:sz w:val="21"/>
          <w:szCs w:val="21"/>
        </w:rPr>
      </w:pPr>
      <w:r w:rsidRPr="002224BB">
        <w:rPr>
          <w:rFonts w:ascii="Arial" w:hAnsi="Arial" w:cs="Arial"/>
          <w:b/>
          <w:i/>
          <w:sz w:val="21"/>
          <w:szCs w:val="21"/>
        </w:rPr>
        <w:t>Legend</w:t>
      </w:r>
      <w:r w:rsidRPr="002224BB">
        <w:rPr>
          <w:rFonts w:ascii="Arial" w:hAnsi="Arial" w:cs="Arial"/>
          <w:i/>
          <w:sz w:val="21"/>
          <w:szCs w:val="21"/>
        </w:rPr>
        <w:t>: 5 = Completely   4 = Mostly   3 = Minimal Acceptable Level   2 = Somewhat   1 = Barely or No</w:t>
      </w:r>
    </w:p>
    <w:sectPr w:rsidR="002224BB" w:rsidRPr="002224BB" w:rsidSect="00D4327E">
      <w:headerReference w:type="default" r:id="rId9"/>
      <w:footerReference w:type="default" r:id="rId10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E9" w:rsidRDefault="00F436E9">
      <w:r>
        <w:separator/>
      </w:r>
    </w:p>
  </w:endnote>
  <w:endnote w:type="continuationSeparator" w:id="0">
    <w:p w:rsidR="00F436E9" w:rsidRDefault="00F4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35" w:rsidRPr="00C80635" w:rsidRDefault="00C80635" w:rsidP="00C80635">
    <w:pPr>
      <w:pStyle w:val="Footer"/>
      <w:tabs>
        <w:tab w:val="right" w:pos="13770"/>
      </w:tabs>
      <w:rPr>
        <w:rStyle w:val="PageNumber"/>
        <w:rFonts w:ascii="Arial" w:hAnsi="Arial" w:cs="Arial"/>
      </w:rPr>
    </w:pPr>
  </w:p>
  <w:p w:rsidR="00C80635" w:rsidRPr="00C80635" w:rsidRDefault="00C80635" w:rsidP="00C80635">
    <w:pPr>
      <w:pStyle w:val="Footer"/>
      <w:pBdr>
        <w:top w:val="single" w:sz="4" w:space="1" w:color="auto"/>
      </w:pBdr>
      <w:tabs>
        <w:tab w:val="clear" w:pos="8640"/>
        <w:tab w:val="right" w:pos="9900"/>
        <w:tab w:val="right" w:pos="13860"/>
      </w:tabs>
      <w:rPr>
        <w:rFonts w:ascii="Arial" w:hAnsi="Arial" w:cs="Arial"/>
      </w:rPr>
    </w:pPr>
    <w:r w:rsidRPr="00C80635">
      <w:rPr>
        <w:rStyle w:val="PageNumber"/>
        <w:rFonts w:ascii="Arial" w:hAnsi="Arial" w:cs="Arial"/>
      </w:rPr>
      <w:t>Copyright © 201</w:t>
    </w:r>
    <w:r w:rsidR="00554A52">
      <w:rPr>
        <w:rStyle w:val="PageNumber"/>
        <w:rFonts w:ascii="Arial" w:hAnsi="Arial" w:cs="Arial"/>
      </w:rPr>
      <w:t>9</w:t>
    </w:r>
    <w:r w:rsidRPr="00C80635">
      <w:rPr>
        <w:rStyle w:val="PageNumber"/>
        <w:rFonts w:ascii="Arial" w:hAnsi="Arial" w:cs="Arial"/>
      </w:rPr>
      <w:t xml:space="preserve"> </w:t>
    </w:r>
    <w:proofErr w:type="spellStart"/>
    <w:r w:rsidRPr="00C80635">
      <w:rPr>
        <w:rStyle w:val="PageNumber"/>
        <w:rFonts w:ascii="Arial" w:hAnsi="Arial" w:cs="Arial"/>
      </w:rPr>
      <w:t>ets</w:t>
    </w:r>
    <w:proofErr w:type="spellEnd"/>
    <w:r w:rsidRPr="00C80635">
      <w:rPr>
        <w:rStyle w:val="PageNumber"/>
        <w:rFonts w:ascii="Arial" w:hAnsi="Arial" w:cs="Arial"/>
      </w:rPr>
      <w:t xml:space="preserve">, </w:t>
    </w:r>
    <w:proofErr w:type="spellStart"/>
    <w:r w:rsidRPr="00C80635">
      <w:rPr>
        <w:rStyle w:val="PageNumber"/>
        <w:rFonts w:ascii="Arial" w:hAnsi="Arial" w:cs="Arial"/>
      </w:rPr>
      <w:t>inc.</w:t>
    </w:r>
    <w:proofErr w:type="spellEnd"/>
    <w:r w:rsidRPr="00C80635">
      <w:rPr>
        <w:rStyle w:val="PageNumber"/>
        <w:rFonts w:ascii="Arial" w:hAnsi="Arial" w:cs="Arial"/>
      </w:rPr>
      <w:tab/>
    </w:r>
    <w:r w:rsidRPr="00C80635">
      <w:rPr>
        <w:rStyle w:val="PageNumber"/>
        <w:rFonts w:ascii="Arial" w:hAnsi="Arial" w:cs="Arial"/>
      </w:rPr>
      <w:tab/>
    </w:r>
    <w:hyperlink r:id="rId1" w:history="1">
      <w:r w:rsidRPr="00C80635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E9" w:rsidRDefault="00F436E9">
      <w:r>
        <w:separator/>
      </w:r>
    </w:p>
  </w:footnote>
  <w:footnote w:type="continuationSeparator" w:id="0">
    <w:p w:rsidR="00F436E9" w:rsidRDefault="00F4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7E" w:rsidRDefault="00D4327E" w:rsidP="00D4327E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D4327E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708" w:rsidRPr="00554A52" w:rsidRDefault="002224BB" w:rsidP="00C80635">
    <w:pPr>
      <w:pStyle w:val="Header"/>
      <w:spacing w:after="120"/>
      <w:rPr>
        <w:rFonts w:ascii="Arial" w:hAnsi="Arial" w:cs="Arial"/>
        <w:color w:val="0070C0"/>
        <w:sz w:val="28"/>
      </w:rPr>
    </w:pPr>
    <w:r>
      <w:rPr>
        <w:rFonts w:ascii="Arial" w:hAnsi="Arial" w:cs="Arial"/>
        <w:b/>
        <w:bCs/>
        <w:caps/>
        <w:color w:val="0070C0"/>
        <w:kern w:val="36"/>
        <w:sz w:val="32"/>
        <w:szCs w:val="28"/>
      </w:rPr>
      <w:t>STRATEGIC PLANNING PROCESS RATING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76E2"/>
    <w:multiLevelType w:val="hybridMultilevel"/>
    <w:tmpl w:val="0060C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5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7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2"/>
  </w:num>
  <w:num w:numId="3">
    <w:abstractNumId w:val="16"/>
  </w:num>
  <w:num w:numId="4">
    <w:abstractNumId w:val="34"/>
  </w:num>
  <w:num w:numId="5">
    <w:abstractNumId w:val="31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5"/>
  </w:num>
  <w:num w:numId="11">
    <w:abstractNumId w:val="0"/>
  </w:num>
  <w:num w:numId="12">
    <w:abstractNumId w:val="4"/>
  </w:num>
  <w:num w:numId="13">
    <w:abstractNumId w:val="28"/>
  </w:num>
  <w:num w:numId="14">
    <w:abstractNumId w:val="41"/>
  </w:num>
  <w:num w:numId="15">
    <w:abstractNumId w:val="13"/>
  </w:num>
  <w:num w:numId="16">
    <w:abstractNumId w:val="7"/>
  </w:num>
  <w:num w:numId="17">
    <w:abstractNumId w:val="8"/>
  </w:num>
  <w:num w:numId="18">
    <w:abstractNumId w:val="48"/>
  </w:num>
  <w:num w:numId="19">
    <w:abstractNumId w:val="40"/>
  </w:num>
  <w:num w:numId="20">
    <w:abstractNumId w:val="47"/>
  </w:num>
  <w:num w:numId="21">
    <w:abstractNumId w:val="6"/>
  </w:num>
  <w:num w:numId="22">
    <w:abstractNumId w:val="44"/>
  </w:num>
  <w:num w:numId="23">
    <w:abstractNumId w:val="14"/>
  </w:num>
  <w:num w:numId="24">
    <w:abstractNumId w:val="20"/>
  </w:num>
  <w:num w:numId="25">
    <w:abstractNumId w:val="43"/>
  </w:num>
  <w:num w:numId="26">
    <w:abstractNumId w:val="3"/>
  </w:num>
  <w:num w:numId="27">
    <w:abstractNumId w:val="27"/>
  </w:num>
  <w:num w:numId="28">
    <w:abstractNumId w:val="46"/>
  </w:num>
  <w:num w:numId="29">
    <w:abstractNumId w:val="10"/>
  </w:num>
  <w:num w:numId="30">
    <w:abstractNumId w:val="49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 w:numId="42">
    <w:abstractNumId w:val="22"/>
  </w:num>
  <w:num w:numId="43">
    <w:abstractNumId w:val="37"/>
  </w:num>
  <w:num w:numId="44">
    <w:abstractNumId w:val="39"/>
  </w:num>
  <w:num w:numId="45">
    <w:abstractNumId w:val="23"/>
  </w:num>
  <w:num w:numId="46">
    <w:abstractNumId w:val="33"/>
  </w:num>
  <w:num w:numId="47">
    <w:abstractNumId w:val="45"/>
  </w:num>
  <w:num w:numId="48">
    <w:abstractNumId w:val="17"/>
  </w:num>
  <w:num w:numId="49">
    <w:abstractNumId w:val="26"/>
  </w:num>
  <w:num w:numId="50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8F1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787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4BB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861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135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3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847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2E8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52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0F65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423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734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A40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CD6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708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3C34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647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4CA0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635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71F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27A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7C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27E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7D1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3FFB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6E9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CE7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1F8D9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72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0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1992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2019-04-03T17:39:00Z</dcterms:created>
  <dcterms:modified xsi:type="dcterms:W3CDTF">2019-04-03T17:39:00Z</dcterms:modified>
</cp:coreProperties>
</file>